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04" w:rsidRPr="007A4D04" w:rsidRDefault="007A4D04" w:rsidP="007A4D04">
      <w:pPr>
        <w:spacing w:before="100" w:beforeAutospacing="1" w:after="100" w:afterAutospacing="1" w:line="240" w:lineRule="auto"/>
        <w:outlineLvl w:val="1"/>
        <w:rPr>
          <w:rFonts w:ascii="Times New Roman" w:eastAsia="Times New Roman" w:hAnsi="Times New Roman" w:cs="Times New Roman"/>
          <w:b/>
          <w:bCs/>
          <w:sz w:val="20"/>
          <w:szCs w:val="20"/>
          <w:lang w:eastAsia="ru-RU"/>
        </w:rPr>
      </w:pPr>
      <w:r w:rsidRPr="007A4D04">
        <w:rPr>
          <w:rFonts w:ascii="Times New Roman" w:eastAsia="Times New Roman" w:hAnsi="Times New Roman" w:cs="Times New Roman"/>
          <w:b/>
          <w:bCs/>
          <w:sz w:val="20"/>
          <w:szCs w:val="20"/>
          <w:lang w:eastAsia="ru-RU"/>
        </w:rPr>
        <w:t>Статья 333.25. Особенности уплаты государственной пошлины при обращении за совершением нотариальных действий</w:t>
      </w:r>
    </w:p>
    <w:p w:rsidR="007A4D04" w:rsidRPr="007A4D04" w:rsidRDefault="007A4D04" w:rsidP="007A4D04">
      <w:pPr>
        <w:spacing w:after="0" w:line="240" w:lineRule="auto"/>
        <w:rPr>
          <w:rFonts w:ascii="Times New Roman" w:eastAsia="Times New Roman" w:hAnsi="Times New Roman" w:cs="Times New Roman"/>
          <w:sz w:val="24"/>
          <w:szCs w:val="24"/>
          <w:lang w:eastAsia="ru-RU"/>
        </w:rPr>
      </w:pPr>
      <w:hyperlink r:id="rId4" w:tooltip="Налоговый кодекс РФ" w:history="1">
        <w:r w:rsidRPr="007A4D04">
          <w:rPr>
            <w:rFonts w:ascii="Times New Roman" w:eastAsia="Times New Roman" w:hAnsi="Times New Roman" w:cs="Times New Roman"/>
            <w:b/>
            <w:bCs/>
            <w:color w:val="707070"/>
            <w:sz w:val="20"/>
            <w:szCs w:val="20"/>
            <w:u w:val="single"/>
            <w:lang w:eastAsia="ru-RU"/>
          </w:rPr>
          <w:t>[Налоговый кодекс РФ]</w:t>
        </w:r>
      </w:hyperlink>
      <w:r w:rsidRPr="007A4D04">
        <w:rPr>
          <w:rFonts w:ascii="Times New Roman" w:eastAsia="Times New Roman" w:hAnsi="Times New Roman" w:cs="Times New Roman"/>
          <w:sz w:val="24"/>
          <w:szCs w:val="24"/>
          <w:lang w:eastAsia="ru-RU"/>
        </w:rPr>
        <w:t> </w:t>
      </w:r>
      <w:hyperlink r:id="rId5" w:tooltip="Государственная пошлина" w:history="1">
        <w:r w:rsidRPr="007A4D04">
          <w:rPr>
            <w:rFonts w:ascii="Times New Roman" w:eastAsia="Times New Roman" w:hAnsi="Times New Roman" w:cs="Times New Roman"/>
            <w:b/>
            <w:bCs/>
            <w:color w:val="707070"/>
            <w:sz w:val="20"/>
            <w:szCs w:val="20"/>
            <w:u w:val="single"/>
            <w:lang w:eastAsia="ru-RU"/>
          </w:rPr>
          <w:t>[Глава 25.3]</w:t>
        </w:r>
      </w:hyperlink>
      <w:r w:rsidRPr="007A4D04">
        <w:rPr>
          <w:rFonts w:ascii="Times New Roman" w:eastAsia="Times New Roman" w:hAnsi="Times New Roman" w:cs="Times New Roman"/>
          <w:sz w:val="24"/>
          <w:szCs w:val="24"/>
          <w:lang w:eastAsia="ru-RU"/>
        </w:rPr>
        <w:t> </w:t>
      </w:r>
      <w:hyperlink r:id="rId6" w:tooltip="Особенности уплаты государственной пошлины при обращении за совершением нотариальных действий" w:history="1">
        <w:r w:rsidRPr="007A4D04">
          <w:rPr>
            <w:rFonts w:ascii="Times New Roman" w:eastAsia="Times New Roman" w:hAnsi="Times New Roman" w:cs="Times New Roman"/>
            <w:b/>
            <w:bCs/>
            <w:color w:val="707070"/>
            <w:sz w:val="20"/>
            <w:szCs w:val="20"/>
            <w:u w:val="single"/>
            <w:lang w:eastAsia="ru-RU"/>
          </w:rPr>
          <w:t>[Статья 333.25]</w:t>
        </w:r>
      </w:hyperlink>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1. За совершение нотариальных действий государственная пошлина уплачивается с учетом следующих особенностей:</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1) за нотариальные действия, совершаемые вне помещений государственной нотариальной конторы, органов исполнительной власти и органов местного самоуправления, государственная пошлина уплачивается в размере, увеличенном в полтора раза;</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2) при удостоверении доверенности, выданной в отношении нескольких лиц, государственная пошлина уплачивается однократно;</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3) при наличии нескольких наследников (в частности, наследников по закону, по завещанию или наследников, имеющих право на обязательную долю в наследстве) государственная пошлина уплачивается каждым наследником;</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4) за выдачу свидетельства о праве на наследство, выдаваемого на основании решений суда о признании ранее выданного свидетельства о праве на наследство недействительным, государственная пошлина уплачивается в соответствии с порядком и в размерах, которые установлены настоящей главой. При этом сумма государственной пошлины, уплаченной за ранее выданное свидетельство, подлежит возврату в порядке, установленном статьей 333.40 настоящего Кодекса. По заявлению плательщика государственная пошлина, уплаченная за ранее выданное свидетельство, подлежит зачету в счет государственной пошлины, подлежащей уплате за выдачу нового свидетельства, в течение одного года со дня вступления в законную силу соответствующего решения суда. В таком же порядке решается вопрос при повторном удостоверении договоров, признанных судом недействительными;</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5) при исчислении размера государственной пошлины за удостоверение договоров, подлежащих оценке, принимается сумма договора, указанная сторонами, но не ниже суммы, определенной в соответствии с подпунктами 7 - 10 настоящего пункта. При исчислении размера государственной пошлины за выдачу свидетельств о праве на наследство принимается стоимость наследуемого имущества, определенная в соответствии с подпунктами 7 - 10 настоящего пункта. При исчислении размера государственной пошлины за удостоверение сделок, направленных на отчуждение доли или части доли в уставном капитале общества с ограниченной ответственностью, а также сделок, устанавливающих обязательство по отчуждению доли или части доли в уставном капитале общества с ограниченной ответственностью, принимается сумма договора, указанная сторонами, но не ниже номинальной стоимости доли или части доли. При исчислении размера государственной пошлины за удостоверение договоров купли-продажи и залога доли или части доли в уставном капитале общества с ограниченной ответственностью принимается оценка доли или части доли как предмета залога, указанная сторонами договора залога, но не ниже номинальной стоимости доли, части доли соответственно.</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По выбору плательщика для исчисления государственной пошлины может быть представлен документ с указанием инвентаризационной, рыночной, кадастровой либо иной (номинальной) стоимости имущества, выданный лицами, указанными в подпунктах 7 - 10 настоящего пункта. Нотариусы и должностные лица, совершающие нотариальные действия, не вправе определять вид стоимости имущества (способ оценки) в целях исчисления государственной пошлины и требовать от плательщика представления документа, подтверждающего данный вид стоимости имущества (способ оценки).</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В случае представления нескольких документов, выданных лицами, указанными в подпунктах 7 - 10 настоящего пункта, с указанием различной стоимости имущества при исчислении размера государственной пошлины принимается наименьшая из указанных стоимостей имущества;</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6) оценка стоимости наследственного имущества производится исходя из стоимости наследуемого имущества (курса Центрального банка Российской Федерации - в отношении иностранной валюты и ценных бумаг в иностранной валюте) на день открытия наследства;</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lastRenderedPageBreak/>
        <w:t>7) стоимость транспортных средств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судебно-экспертными учреждениями органа юстиции;</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8) стоимость недвижимого имущества, за исключением земельных участков,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организациями (органами) по учету объектов недвижимого имущества по месту его нахождения;</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9) стоимость земельных участков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федеральным органом, осуществляющим кадастровый учет, ведение государственного кадастра недвижимости и государственную регистрацию прав на недвижимое имущество и сделок с ним, и его территориальными подразделениями;</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10) стоимость имущества, не предусмотренного подпунктами 7 - 9 настоящего пункта, определяется оценщиками или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11) оценка стоимости патента, переходящего по наследству, производится исходя из всех сумм уплаченной на день смерти наследодателя государственной пошлины за патентование изобретения, промышленного образца или полезной модели. В таком же порядке определяется стоимость переходящих по наследству прав на получение патента;</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12) оценка переходящих по наследству имущественных прав производится из стоимости имущества (курса Центрального банка Российской Федерации - в отношении иностранной валюты и ценных бумаг в иностранной валюте), на которое переходят имущественные права, на день открытия наследства;</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13) оценка наследственного имущества, находящегося за пределами территории Российской Федерации, или переходящих на него по наследству имущественных прав определяется исходя из суммы, указанной в оценочном документе, составленном за границей должностными лицами компетентных органов и применяемом на территории Российской Федерации в соответствии с законодательством Российской Федерации.</w:t>
      </w:r>
    </w:p>
    <w:p w:rsidR="007A4D04" w:rsidRPr="007A4D04" w:rsidRDefault="007A4D04" w:rsidP="007A4D04">
      <w:pPr>
        <w:shd w:val="clear" w:color="auto" w:fill="FFFFFF"/>
        <w:spacing w:before="240" w:after="240" w:line="240" w:lineRule="atLeast"/>
        <w:rPr>
          <w:rFonts w:ascii="Arial" w:eastAsia="Times New Roman" w:hAnsi="Arial" w:cs="Arial"/>
          <w:color w:val="000000"/>
          <w:sz w:val="20"/>
          <w:szCs w:val="20"/>
          <w:lang w:eastAsia="ru-RU"/>
        </w:rPr>
      </w:pPr>
      <w:r w:rsidRPr="007A4D04">
        <w:rPr>
          <w:rFonts w:ascii="Arial" w:eastAsia="Times New Roman" w:hAnsi="Arial" w:cs="Arial"/>
          <w:color w:val="000000"/>
          <w:sz w:val="20"/>
          <w:szCs w:val="20"/>
          <w:lang w:eastAsia="ru-RU"/>
        </w:rPr>
        <w:t>2. Положения настоящей статьи применяются с учетом положений статей 333.35 и 333.38 настоящего Кодекса.</w:t>
      </w:r>
    </w:p>
    <w:p w:rsidR="003F6382" w:rsidRDefault="003F6382">
      <w:bookmarkStart w:id="0" w:name="_GoBack"/>
      <w:bookmarkEnd w:id="0"/>
    </w:p>
    <w:sectPr w:rsidR="003F63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F3"/>
    <w:rsid w:val="003F6382"/>
    <w:rsid w:val="007A4D04"/>
    <w:rsid w:val="00DA4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55A26-1932-4120-BA2E-736DDF6F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A4D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4D0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A4D04"/>
    <w:rPr>
      <w:color w:val="0000FF"/>
      <w:u w:val="single"/>
    </w:rPr>
  </w:style>
  <w:style w:type="character" w:customStyle="1" w:styleId="apple-converted-space">
    <w:name w:val="apple-converted-space"/>
    <w:basedOn w:val="a0"/>
    <w:rsid w:val="007A4D04"/>
  </w:style>
  <w:style w:type="paragraph" w:styleId="a4">
    <w:name w:val="Normal (Web)"/>
    <w:basedOn w:val="a"/>
    <w:uiPriority w:val="99"/>
    <w:semiHidden/>
    <w:unhideWhenUsed/>
    <w:rsid w:val="007A4D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501903">
      <w:bodyDiv w:val="1"/>
      <w:marLeft w:val="0"/>
      <w:marRight w:val="0"/>
      <w:marTop w:val="0"/>
      <w:marBottom w:val="0"/>
      <w:divBdr>
        <w:top w:val="none" w:sz="0" w:space="0" w:color="auto"/>
        <w:left w:val="none" w:sz="0" w:space="0" w:color="auto"/>
        <w:bottom w:val="none" w:sz="0" w:space="0" w:color="auto"/>
        <w:right w:val="none" w:sz="0" w:space="0" w:color="auto"/>
      </w:divBdr>
      <w:divsChild>
        <w:div w:id="742871680">
          <w:marLeft w:val="0"/>
          <w:marRight w:val="0"/>
          <w:marTop w:val="0"/>
          <w:marBottom w:val="0"/>
          <w:divBdr>
            <w:top w:val="none" w:sz="0" w:space="0" w:color="auto"/>
            <w:left w:val="none" w:sz="0" w:space="0" w:color="auto"/>
            <w:bottom w:val="none" w:sz="0" w:space="0" w:color="auto"/>
            <w:right w:val="none" w:sz="0" w:space="0" w:color="auto"/>
          </w:divBdr>
        </w:div>
        <w:div w:id="711852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nk/333.25/" TargetMode="External"/><Relationship Id="rId5" Type="http://schemas.openxmlformats.org/officeDocument/2006/relationships/hyperlink" Target="http://www.zakonrf.info/nk/gl25.3/" TargetMode="External"/><Relationship Id="rId4" Type="http://schemas.openxmlformats.org/officeDocument/2006/relationships/hyperlink" Target="http://www.zakonrf.info/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5759</Characters>
  <Application>Microsoft Office Word</Application>
  <DocSecurity>0</DocSecurity>
  <Lines>127</Lines>
  <Paragraphs>84</Paragraphs>
  <ScaleCrop>false</ScaleCrop>
  <Company>diakov.net</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2016-03-24T11:07:00Z</dcterms:created>
  <dcterms:modified xsi:type="dcterms:W3CDTF">2016-03-24T11:07:00Z</dcterms:modified>
</cp:coreProperties>
</file>